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08C" w:rsidRPr="00E16835" w:rsidRDefault="0050108C" w:rsidP="0050108C">
      <w:pPr>
        <w:jc w:val="center"/>
        <w:rPr>
          <w:rFonts w:ascii="Verdana" w:hAnsi="Verdana" w:cs="ArialMT"/>
          <w:b/>
          <w:sz w:val="20"/>
          <w:szCs w:val="20"/>
        </w:rPr>
      </w:pPr>
      <w:r w:rsidRPr="00E16835">
        <w:rPr>
          <w:rFonts w:ascii="Verdana" w:hAnsi="Verdana" w:cs="ArialMT"/>
          <w:b/>
          <w:sz w:val="20"/>
          <w:szCs w:val="20"/>
        </w:rPr>
        <w:t>Sajtóközlemény</w:t>
      </w:r>
    </w:p>
    <w:p w:rsidR="0050108C" w:rsidRDefault="0050108C" w:rsidP="00471694">
      <w:pPr>
        <w:jc w:val="both"/>
        <w:rPr>
          <w:rFonts w:ascii="Verdana" w:hAnsi="Verdana" w:cs="ArialMT"/>
          <w:sz w:val="20"/>
          <w:szCs w:val="20"/>
        </w:rPr>
      </w:pPr>
    </w:p>
    <w:p w:rsidR="00471694" w:rsidRDefault="00471694" w:rsidP="00471694">
      <w:pPr>
        <w:jc w:val="both"/>
        <w:rPr>
          <w:rFonts w:ascii="Verdana" w:hAnsi="Verdana" w:cs="ArialMT"/>
          <w:sz w:val="20"/>
          <w:szCs w:val="20"/>
        </w:rPr>
      </w:pPr>
      <w:r w:rsidRPr="00471694">
        <w:rPr>
          <w:rFonts w:ascii="Verdana" w:hAnsi="Verdana" w:cs="ArialMT"/>
          <w:sz w:val="20"/>
          <w:szCs w:val="20"/>
        </w:rPr>
        <w:t xml:space="preserve">A </w:t>
      </w:r>
      <w:r w:rsidRPr="00471694">
        <w:rPr>
          <w:rFonts w:ascii="Verdana" w:hAnsi="Verdana" w:cs="ArialMT"/>
          <w:sz w:val="20"/>
          <w:szCs w:val="20"/>
        </w:rPr>
        <w:t>Karcsai Általános Iskola és Alapfokú Művészeti Iskola</w:t>
      </w:r>
      <w:r w:rsidRPr="00471694">
        <w:rPr>
          <w:rFonts w:ascii="Verdana" w:hAnsi="Verdana" w:cs="ArialMT"/>
          <w:sz w:val="20"/>
          <w:szCs w:val="20"/>
        </w:rPr>
        <w:t xml:space="preserve"> „</w:t>
      </w:r>
      <w:r w:rsidRPr="00471694">
        <w:rPr>
          <w:rFonts w:ascii="Verdana" w:hAnsi="Verdana" w:cs="ArialMT"/>
          <w:sz w:val="20"/>
          <w:szCs w:val="20"/>
        </w:rPr>
        <w:t xml:space="preserve">A hazai és a határon túli művészeti </w:t>
      </w:r>
      <w:bookmarkStart w:id="0" w:name="_GoBack"/>
      <w:bookmarkEnd w:id="0"/>
      <w:r w:rsidRPr="00471694">
        <w:rPr>
          <w:rFonts w:ascii="Verdana" w:hAnsi="Verdana" w:cs="ArialMT"/>
          <w:sz w:val="20"/>
          <w:szCs w:val="20"/>
        </w:rPr>
        <w:t>tehetséggondozó programok támogatása</w:t>
      </w:r>
      <w:r w:rsidRPr="00471694">
        <w:rPr>
          <w:rFonts w:ascii="Verdana" w:hAnsi="Verdana" w:cs="ArialMT"/>
          <w:sz w:val="20"/>
          <w:szCs w:val="20"/>
        </w:rPr>
        <w:t xml:space="preserve">” című </w:t>
      </w:r>
      <w:r w:rsidRPr="00471694">
        <w:rPr>
          <w:rFonts w:ascii="Verdana" w:hAnsi="Verdana" w:cs="ArialMT"/>
          <w:sz w:val="20"/>
          <w:szCs w:val="20"/>
        </w:rPr>
        <w:t>NTP-MŰV-17-0098</w:t>
      </w:r>
      <w:r w:rsidRPr="00471694">
        <w:rPr>
          <w:rFonts w:ascii="Verdana" w:hAnsi="Verdana" w:cs="ArialMT"/>
          <w:sz w:val="20"/>
          <w:szCs w:val="20"/>
        </w:rPr>
        <w:t xml:space="preserve"> azonosítószámú pályázatát sikeresnek ítélté</w:t>
      </w:r>
      <w:r>
        <w:rPr>
          <w:rFonts w:ascii="Verdana" w:hAnsi="Verdana" w:cs="ArialMT"/>
          <w:sz w:val="20"/>
          <w:szCs w:val="20"/>
        </w:rPr>
        <w:t>k meg. A támogatás összköltsége:</w:t>
      </w:r>
    </w:p>
    <w:p w:rsidR="00471694" w:rsidRPr="00471694" w:rsidRDefault="00471694" w:rsidP="00471694">
      <w:pPr>
        <w:jc w:val="center"/>
        <w:rPr>
          <w:rFonts w:ascii="Verdana" w:hAnsi="Verdana" w:cs="ArialMT"/>
          <w:sz w:val="20"/>
          <w:szCs w:val="20"/>
        </w:rPr>
      </w:pPr>
      <w:r w:rsidRPr="00471694">
        <w:rPr>
          <w:rFonts w:ascii="Verdana" w:hAnsi="Verdana" w:cs="ArialMT"/>
          <w:sz w:val="20"/>
          <w:szCs w:val="20"/>
        </w:rPr>
        <w:t>1 500 000 Ft.</w:t>
      </w:r>
    </w:p>
    <w:p w:rsidR="003D572F" w:rsidRPr="00471694" w:rsidRDefault="003D572F" w:rsidP="00471694">
      <w:pPr>
        <w:jc w:val="both"/>
        <w:rPr>
          <w:rFonts w:ascii="Verdana" w:hAnsi="Verdana"/>
          <w:sz w:val="20"/>
          <w:szCs w:val="20"/>
        </w:rPr>
      </w:pPr>
      <w:r w:rsidRPr="00471694">
        <w:rPr>
          <w:rFonts w:ascii="Verdana" w:hAnsi="Verdana"/>
          <w:sz w:val="20"/>
          <w:szCs w:val="20"/>
        </w:rPr>
        <w:t xml:space="preserve">Célunk, a pályázati kiírással összhangban olyan programok megvalósítása a néptánc területén, melynek segítségével a kiemelkedő képességekkel rendelkező tanulóinknak további fejlődést biztosítunk. Ezzel sikerélményhez juttatjuk tanulóinkat, a többiek számára követendő példát mutatunk. A tanórán kívüli foglalkozások alkalmával a Bodrogköz tánclépéseit dolgozzuk fel, a projekt végén pedig ezekből egy önálló koreográfiát mutatnak be a gyerekek. </w:t>
      </w:r>
    </w:p>
    <w:p w:rsidR="003D572F" w:rsidRPr="00471694" w:rsidRDefault="003D572F" w:rsidP="00471694">
      <w:pPr>
        <w:jc w:val="both"/>
        <w:rPr>
          <w:rFonts w:ascii="Verdana" w:hAnsi="Verdana"/>
          <w:sz w:val="20"/>
          <w:szCs w:val="20"/>
        </w:rPr>
      </w:pPr>
      <w:r w:rsidRPr="00471694">
        <w:rPr>
          <w:rFonts w:ascii="Verdana" w:hAnsi="Verdana"/>
          <w:sz w:val="20"/>
          <w:szCs w:val="20"/>
        </w:rPr>
        <w:t>Konkrét célok:</w:t>
      </w:r>
    </w:p>
    <w:p w:rsidR="003D572F" w:rsidRPr="00471694" w:rsidRDefault="003D572F" w:rsidP="00471694">
      <w:pPr>
        <w:jc w:val="both"/>
        <w:rPr>
          <w:rFonts w:ascii="Verdana" w:hAnsi="Verdana"/>
          <w:sz w:val="20"/>
          <w:szCs w:val="20"/>
        </w:rPr>
      </w:pPr>
      <w:r w:rsidRPr="00471694">
        <w:rPr>
          <w:rFonts w:ascii="Verdana" w:hAnsi="Verdana"/>
          <w:sz w:val="20"/>
          <w:szCs w:val="20"/>
        </w:rPr>
        <w:t xml:space="preserve">- Heti 2 órában történő hagyományos népi játékok, népi énekek elsajátítása. Tánctípusok, táncrendek színpadi táncművészet megismertetése, átszőve a helyi falusi élet hagyományainak felelevenítésével. </w:t>
      </w:r>
    </w:p>
    <w:p w:rsidR="003D572F" w:rsidRPr="00471694" w:rsidRDefault="003D572F" w:rsidP="00471694">
      <w:pPr>
        <w:jc w:val="both"/>
        <w:rPr>
          <w:rFonts w:ascii="Verdana" w:hAnsi="Verdana"/>
          <w:sz w:val="20"/>
          <w:szCs w:val="20"/>
        </w:rPr>
      </w:pPr>
      <w:r w:rsidRPr="00471694">
        <w:rPr>
          <w:rFonts w:ascii="Verdana" w:hAnsi="Verdana"/>
          <w:sz w:val="20"/>
          <w:szCs w:val="20"/>
        </w:rPr>
        <w:t>- A tehetséggondozó program tematikájához kapcsolódó 1 napos kulturális program meglátogatása.</w:t>
      </w:r>
    </w:p>
    <w:p w:rsidR="003D572F" w:rsidRPr="00471694" w:rsidRDefault="003D572F" w:rsidP="00471694">
      <w:pPr>
        <w:jc w:val="both"/>
        <w:rPr>
          <w:rFonts w:ascii="Verdana" w:hAnsi="Verdana"/>
          <w:sz w:val="20"/>
          <w:szCs w:val="20"/>
        </w:rPr>
      </w:pPr>
      <w:r w:rsidRPr="00471694">
        <w:rPr>
          <w:rFonts w:ascii="Verdana" w:hAnsi="Verdana"/>
          <w:sz w:val="20"/>
          <w:szCs w:val="20"/>
        </w:rPr>
        <w:t>- A tehetséggondozó program tematikájához kapcsolódó múzeumpedagógiai foglalkozáson történő részvétel.</w:t>
      </w:r>
    </w:p>
    <w:p w:rsidR="003D572F" w:rsidRPr="00471694" w:rsidRDefault="003D572F" w:rsidP="00471694">
      <w:pPr>
        <w:jc w:val="both"/>
        <w:rPr>
          <w:rFonts w:ascii="Verdana" w:hAnsi="Verdana"/>
          <w:sz w:val="20"/>
          <w:szCs w:val="20"/>
        </w:rPr>
      </w:pPr>
      <w:r w:rsidRPr="00471694">
        <w:rPr>
          <w:rFonts w:ascii="Verdana" w:hAnsi="Verdana"/>
          <w:sz w:val="20"/>
          <w:szCs w:val="20"/>
        </w:rPr>
        <w:t>- Külső előadó meghívása</w:t>
      </w:r>
    </w:p>
    <w:p w:rsidR="0069473E" w:rsidRPr="00471694" w:rsidRDefault="003D572F" w:rsidP="00471694">
      <w:pPr>
        <w:jc w:val="both"/>
        <w:rPr>
          <w:rFonts w:ascii="Verdana" w:hAnsi="Verdana"/>
          <w:sz w:val="20"/>
          <w:szCs w:val="20"/>
        </w:rPr>
      </w:pPr>
      <w:proofErr w:type="spellStart"/>
      <w:r w:rsidRPr="00471694">
        <w:rPr>
          <w:rFonts w:ascii="Verdana" w:hAnsi="Verdana"/>
          <w:sz w:val="20"/>
          <w:szCs w:val="20"/>
        </w:rPr>
        <w:t>-Produktum</w:t>
      </w:r>
      <w:proofErr w:type="spellEnd"/>
      <w:r w:rsidRPr="00471694">
        <w:rPr>
          <w:rFonts w:ascii="Verdana" w:hAnsi="Verdana"/>
          <w:sz w:val="20"/>
          <w:szCs w:val="20"/>
        </w:rPr>
        <w:t xml:space="preserve"> létrehozása</w:t>
      </w:r>
    </w:p>
    <w:p w:rsidR="003D572F" w:rsidRPr="00471694" w:rsidRDefault="003D572F" w:rsidP="00471694">
      <w:pPr>
        <w:jc w:val="both"/>
        <w:rPr>
          <w:rFonts w:ascii="Verdana" w:hAnsi="Verdana"/>
          <w:sz w:val="20"/>
          <w:szCs w:val="20"/>
        </w:rPr>
      </w:pPr>
      <w:proofErr w:type="gramStart"/>
      <w:r w:rsidRPr="00471694">
        <w:rPr>
          <w:rFonts w:ascii="Verdana" w:hAnsi="Verdana"/>
          <w:sz w:val="20"/>
          <w:szCs w:val="20"/>
        </w:rPr>
        <w:t>Tehetséggondozó  módszereink</w:t>
      </w:r>
      <w:proofErr w:type="gramEnd"/>
      <w:r w:rsidRPr="00471694">
        <w:rPr>
          <w:rFonts w:ascii="Verdana" w:hAnsi="Verdana"/>
          <w:sz w:val="20"/>
          <w:szCs w:val="20"/>
        </w:rPr>
        <w:t xml:space="preserve"> fő célja, a tehetségek erős oldalának (ritmus, testtartás, térlátás, zenei hallás, emlékezet, fantázia, logikus gondolkodás stb.) egyénre szabott fejlesztése. Ezt elsősorban gazdagítással, dúsítással kívánjuk elérni a műhelymunkák segítségével.  A gyermekek egy-egy területen rengeteg ismeretanyagot halmoznak fel. Segítenünk kell, hogy ezeket el tudják mélyíteni. </w:t>
      </w:r>
    </w:p>
    <w:p w:rsidR="003D572F" w:rsidRPr="00471694" w:rsidRDefault="003D572F" w:rsidP="00471694">
      <w:pPr>
        <w:jc w:val="both"/>
        <w:rPr>
          <w:rFonts w:ascii="Verdana" w:hAnsi="Verdana"/>
          <w:sz w:val="20"/>
          <w:szCs w:val="20"/>
        </w:rPr>
      </w:pPr>
      <w:r w:rsidRPr="00471694">
        <w:rPr>
          <w:rFonts w:ascii="Verdana" w:hAnsi="Verdana"/>
          <w:sz w:val="20"/>
          <w:szCs w:val="20"/>
        </w:rPr>
        <w:t xml:space="preserve">Fontosnak tartjuk, hogy a tánclépések elsajátítása előtt röviden megismertessük a diákokkal a tánchoz kapcsolódó szokásokat, mivel a Bodrogköz hagyományai </w:t>
      </w:r>
      <w:proofErr w:type="gramStart"/>
      <w:r w:rsidRPr="00471694">
        <w:rPr>
          <w:rFonts w:ascii="Verdana" w:hAnsi="Verdana"/>
          <w:sz w:val="20"/>
          <w:szCs w:val="20"/>
        </w:rPr>
        <w:t>nagy mértékben</w:t>
      </w:r>
      <w:proofErr w:type="gramEnd"/>
      <w:r w:rsidRPr="00471694">
        <w:rPr>
          <w:rFonts w:ascii="Verdana" w:hAnsi="Verdana"/>
          <w:sz w:val="20"/>
          <w:szCs w:val="20"/>
        </w:rPr>
        <w:t xml:space="preserve"> feltártak, így nagy kutatómunkára nincs szükség, ezért tanulói kiselőadás (párban vagy önállóan) formájában valósítjuk meg. A dalok, tánclépések (Bodrogközi játékok, </w:t>
      </w:r>
      <w:proofErr w:type="spellStart"/>
      <w:r w:rsidRPr="00471694">
        <w:rPr>
          <w:rFonts w:ascii="Verdana" w:hAnsi="Verdana"/>
          <w:sz w:val="20"/>
          <w:szCs w:val="20"/>
        </w:rPr>
        <w:t>karcsai</w:t>
      </w:r>
      <w:proofErr w:type="spellEnd"/>
      <w:r w:rsidRPr="00471694">
        <w:rPr>
          <w:rFonts w:ascii="Verdana" w:hAnsi="Verdana"/>
          <w:sz w:val="20"/>
          <w:szCs w:val="20"/>
        </w:rPr>
        <w:t xml:space="preserve"> csárdás, verbunk) elsajátítása, memorizálása játékos formában történik, </w:t>
      </w:r>
      <w:r w:rsidRPr="00471694">
        <w:rPr>
          <w:rFonts w:ascii="Verdana" w:hAnsi="Verdana"/>
          <w:sz w:val="20"/>
          <w:szCs w:val="20"/>
        </w:rPr>
        <w:lastRenderedPageBreak/>
        <w:t xml:space="preserve">melynek segítségével fejlesztjük fantáziájukat, logikus </w:t>
      </w:r>
      <w:proofErr w:type="gramStart"/>
      <w:r w:rsidRPr="00471694">
        <w:rPr>
          <w:rFonts w:ascii="Verdana" w:hAnsi="Verdana"/>
          <w:sz w:val="20"/>
          <w:szCs w:val="20"/>
        </w:rPr>
        <w:t>gondolkodásukat</w:t>
      </w:r>
      <w:proofErr w:type="gramEnd"/>
      <w:r w:rsidRPr="00471694">
        <w:rPr>
          <w:rFonts w:ascii="Verdana" w:hAnsi="Verdana"/>
          <w:sz w:val="20"/>
          <w:szCs w:val="20"/>
        </w:rPr>
        <w:t xml:space="preserve"> ritmusérzéküket stb. Figyelmet fordítunk a gyenge oldalak (önismeret fejlesztése, hatékony kommunikáció fejlesztése, konfliktustűrés és kezelés, társas együttműködés) fejlesztésére is, a tanulás- és személyiségfejlesztésre, a szorongások oldására ill. a lazító, közösségi programokra is. Munkánk során építünk a szoros, személyes kapcsolatokra, nemcsak tanár és növendék között, de a diákok és a hasonló érdeklődési körű felnőtt csoportok között is. Ez utóbbi egy közös táncház keretében valósul meg, ahol a növendékek a játék örömén túl a közösséghez való tartozás élményével is gazdagodnak (szocializáció). A tanulói kiselőadásokra történő közös felkészülés, együttműködést, együttgondolkodást, egymásra való odafigyelést igényel, bodrogközi játékok (fiúk és lányok vegyesen), verbunk (fiúk), </w:t>
      </w:r>
      <w:proofErr w:type="spellStart"/>
      <w:r w:rsidRPr="00471694">
        <w:rPr>
          <w:rFonts w:ascii="Verdana" w:hAnsi="Verdana"/>
          <w:sz w:val="20"/>
          <w:szCs w:val="20"/>
        </w:rPr>
        <w:t>zöldágjárás</w:t>
      </w:r>
      <w:proofErr w:type="spellEnd"/>
      <w:r w:rsidRPr="00471694">
        <w:rPr>
          <w:rFonts w:ascii="Verdana" w:hAnsi="Verdana"/>
          <w:sz w:val="20"/>
          <w:szCs w:val="20"/>
        </w:rPr>
        <w:t xml:space="preserve"> (lányok) szintén, melyek </w:t>
      </w:r>
      <w:proofErr w:type="gramStart"/>
      <w:r w:rsidRPr="00471694">
        <w:rPr>
          <w:rFonts w:ascii="Verdana" w:hAnsi="Verdana"/>
          <w:sz w:val="20"/>
          <w:szCs w:val="20"/>
        </w:rPr>
        <w:t>nagy mértékben</w:t>
      </w:r>
      <w:proofErr w:type="gramEnd"/>
      <w:r w:rsidRPr="00471694">
        <w:rPr>
          <w:rFonts w:ascii="Verdana" w:hAnsi="Verdana"/>
          <w:sz w:val="20"/>
          <w:szCs w:val="20"/>
        </w:rPr>
        <w:t xml:space="preserve">  hozzájárulnak a személyiség-tényezők fejlődéséhez. Iskolánkban a kiválóan kreatív, tehetség ígéretes gyermekek fejlesztése két síkon történik:</w:t>
      </w:r>
    </w:p>
    <w:p w:rsidR="003D572F" w:rsidRPr="00471694" w:rsidRDefault="003D572F" w:rsidP="00471694">
      <w:pPr>
        <w:jc w:val="both"/>
        <w:rPr>
          <w:rFonts w:ascii="Verdana" w:hAnsi="Verdana"/>
          <w:sz w:val="20"/>
          <w:szCs w:val="20"/>
        </w:rPr>
      </w:pPr>
      <w:r w:rsidRPr="00471694">
        <w:rPr>
          <w:rFonts w:ascii="Verdana" w:hAnsi="Verdana"/>
          <w:sz w:val="20"/>
          <w:szCs w:val="20"/>
        </w:rPr>
        <w:t>- a napi tevékenységekbe ágyazva</w:t>
      </w:r>
    </w:p>
    <w:p w:rsidR="003D572F" w:rsidRPr="00471694" w:rsidRDefault="003D572F" w:rsidP="00471694">
      <w:pPr>
        <w:jc w:val="both"/>
        <w:rPr>
          <w:rFonts w:ascii="Verdana" w:hAnsi="Verdana"/>
          <w:sz w:val="20"/>
          <w:szCs w:val="20"/>
        </w:rPr>
      </w:pPr>
      <w:r w:rsidRPr="00471694">
        <w:rPr>
          <w:rFonts w:ascii="Verdana" w:hAnsi="Verdana"/>
          <w:sz w:val="20"/>
          <w:szCs w:val="20"/>
        </w:rPr>
        <w:t>- a fejlesztő tehetséggondozó foglalkozások keretében.</w:t>
      </w:r>
    </w:p>
    <w:p w:rsidR="003D572F" w:rsidRPr="00471694" w:rsidRDefault="003D572F" w:rsidP="00471694">
      <w:pPr>
        <w:jc w:val="both"/>
        <w:rPr>
          <w:rFonts w:ascii="Verdana" w:hAnsi="Verdana"/>
          <w:sz w:val="20"/>
          <w:szCs w:val="20"/>
        </w:rPr>
      </w:pPr>
      <w:r w:rsidRPr="00471694">
        <w:rPr>
          <w:rFonts w:ascii="Verdana" w:hAnsi="Verdana"/>
          <w:sz w:val="20"/>
          <w:szCs w:val="20"/>
        </w:rPr>
        <w:t>- rendezvények, múzeumpedagógiai foglalkozások, szakelőadók segítségével</w:t>
      </w:r>
    </w:p>
    <w:p w:rsidR="003D572F" w:rsidRPr="00471694" w:rsidRDefault="003D572F" w:rsidP="00471694">
      <w:pPr>
        <w:jc w:val="both"/>
        <w:rPr>
          <w:rFonts w:ascii="Verdana" w:hAnsi="Verdana"/>
          <w:sz w:val="20"/>
          <w:szCs w:val="20"/>
        </w:rPr>
      </w:pPr>
    </w:p>
    <w:p w:rsidR="003D572F" w:rsidRPr="00471694" w:rsidRDefault="003D572F" w:rsidP="00471694">
      <w:pPr>
        <w:jc w:val="both"/>
        <w:rPr>
          <w:rFonts w:ascii="Verdana" w:hAnsi="Verdana"/>
          <w:sz w:val="20"/>
          <w:szCs w:val="20"/>
        </w:rPr>
      </w:pPr>
      <w:r w:rsidRPr="00471694">
        <w:rPr>
          <w:rFonts w:ascii="Verdana" w:hAnsi="Verdana"/>
          <w:sz w:val="20"/>
          <w:szCs w:val="20"/>
        </w:rPr>
        <w:t xml:space="preserve">Iskolai munkánk során a kiválóan kreatív gyermekek saját csoportjukban élik iskolás életüket. Kötelességünk, hogy olyan légkört alakítsunk ki a gyermekek körül, amely őket elfogadja, személyiségüknek fejlődését segíti. </w:t>
      </w:r>
    </w:p>
    <w:p w:rsidR="003D572F" w:rsidRPr="00471694" w:rsidRDefault="003D572F" w:rsidP="00471694">
      <w:pPr>
        <w:jc w:val="both"/>
        <w:rPr>
          <w:rFonts w:ascii="Verdana" w:hAnsi="Verdana"/>
          <w:sz w:val="20"/>
          <w:szCs w:val="20"/>
        </w:rPr>
      </w:pPr>
      <w:r w:rsidRPr="00471694">
        <w:rPr>
          <w:rFonts w:ascii="Verdana" w:hAnsi="Verdana"/>
          <w:sz w:val="20"/>
          <w:szCs w:val="20"/>
        </w:rPr>
        <w:t xml:space="preserve">A kiválóan kreatív gyermekek gondozása a pályázati programmal történik. Ennek keretében az átlag feletti értelmi képességekkel, kreativitással és ehhez kapcsolódó feladat elkötelezettséggel rendelkező tehetségeknek, olyan játékos foglalkozásokat tartunk, ami kielégíti tág érdeklődési területüket, illetve tovább bővíti azt. </w:t>
      </w:r>
    </w:p>
    <w:p w:rsidR="003D572F" w:rsidRPr="00471694" w:rsidRDefault="003D572F" w:rsidP="00471694">
      <w:pPr>
        <w:jc w:val="both"/>
        <w:rPr>
          <w:rFonts w:ascii="Verdana" w:hAnsi="Verdana"/>
          <w:sz w:val="20"/>
          <w:szCs w:val="20"/>
        </w:rPr>
      </w:pPr>
      <w:r w:rsidRPr="00471694">
        <w:rPr>
          <w:rFonts w:ascii="Verdana" w:hAnsi="Verdana"/>
          <w:sz w:val="20"/>
          <w:szCs w:val="20"/>
        </w:rPr>
        <w:t>A pályázat keretében tervezett táncelőadás, múzeumpedagógiai foglalkozás, táncház a tanulók lelki feltöltődését is segítenék, hiszen érdeklődési körüknek megfelelő szabadidős programokat is tervezünk.</w:t>
      </w:r>
    </w:p>
    <w:p w:rsidR="003D572F" w:rsidRPr="00471694" w:rsidRDefault="003D572F" w:rsidP="00471694">
      <w:pPr>
        <w:jc w:val="both"/>
        <w:rPr>
          <w:rFonts w:ascii="Verdana" w:hAnsi="Verdana"/>
          <w:sz w:val="20"/>
          <w:szCs w:val="20"/>
        </w:rPr>
      </w:pPr>
      <w:r w:rsidRPr="00471694">
        <w:rPr>
          <w:rFonts w:ascii="Verdana" w:hAnsi="Verdana"/>
          <w:sz w:val="20"/>
          <w:szCs w:val="20"/>
        </w:rPr>
        <w:t xml:space="preserve">A </w:t>
      </w:r>
      <w:proofErr w:type="spellStart"/>
      <w:r w:rsidRPr="00471694">
        <w:rPr>
          <w:rFonts w:ascii="Verdana" w:hAnsi="Verdana"/>
          <w:sz w:val="20"/>
          <w:szCs w:val="20"/>
        </w:rPr>
        <w:t>Pimpóka</w:t>
      </w:r>
      <w:proofErr w:type="spellEnd"/>
      <w:r w:rsidRPr="00471694">
        <w:rPr>
          <w:rFonts w:ascii="Verdana" w:hAnsi="Verdana"/>
          <w:sz w:val="20"/>
          <w:szCs w:val="20"/>
        </w:rPr>
        <w:t xml:space="preserve"> tehetséggondozó kör tagjai</w:t>
      </w:r>
    </w:p>
    <w:p w:rsidR="003D572F" w:rsidRPr="00471694" w:rsidRDefault="003D572F" w:rsidP="00471694">
      <w:pPr>
        <w:jc w:val="both"/>
        <w:rPr>
          <w:rFonts w:ascii="Verdana" w:hAnsi="Verdana"/>
          <w:sz w:val="20"/>
          <w:szCs w:val="20"/>
        </w:rPr>
      </w:pPr>
      <w:proofErr w:type="spellStart"/>
      <w:r w:rsidRPr="00471694">
        <w:rPr>
          <w:rFonts w:ascii="Verdana" w:hAnsi="Verdana"/>
          <w:sz w:val="20"/>
          <w:szCs w:val="20"/>
        </w:rPr>
        <w:t>Bandor</w:t>
      </w:r>
      <w:proofErr w:type="spellEnd"/>
      <w:r w:rsidRPr="00471694">
        <w:rPr>
          <w:rFonts w:ascii="Verdana" w:hAnsi="Verdana"/>
          <w:sz w:val="20"/>
          <w:szCs w:val="20"/>
        </w:rPr>
        <w:t xml:space="preserve"> Norbert, </w:t>
      </w:r>
      <w:proofErr w:type="spellStart"/>
      <w:r w:rsidRPr="00471694">
        <w:rPr>
          <w:rFonts w:ascii="Verdana" w:hAnsi="Verdana"/>
          <w:sz w:val="20"/>
          <w:szCs w:val="20"/>
        </w:rPr>
        <w:t>Bandor</w:t>
      </w:r>
      <w:proofErr w:type="spellEnd"/>
      <w:r w:rsidRPr="00471694">
        <w:rPr>
          <w:rFonts w:ascii="Verdana" w:hAnsi="Verdana"/>
          <w:sz w:val="20"/>
          <w:szCs w:val="20"/>
        </w:rPr>
        <w:t xml:space="preserve"> Veronika Lejla, Benedek Luca, </w:t>
      </w:r>
      <w:proofErr w:type="spellStart"/>
      <w:r w:rsidRPr="00471694">
        <w:rPr>
          <w:rFonts w:ascii="Verdana" w:hAnsi="Verdana"/>
          <w:sz w:val="20"/>
          <w:szCs w:val="20"/>
        </w:rPr>
        <w:t>Dakos</w:t>
      </w:r>
      <w:proofErr w:type="spellEnd"/>
      <w:r w:rsidRPr="00471694">
        <w:rPr>
          <w:rFonts w:ascii="Verdana" w:hAnsi="Verdana"/>
          <w:sz w:val="20"/>
          <w:szCs w:val="20"/>
        </w:rPr>
        <w:t xml:space="preserve"> Katalin, </w:t>
      </w:r>
      <w:proofErr w:type="spellStart"/>
      <w:r w:rsidRPr="00471694">
        <w:rPr>
          <w:rFonts w:ascii="Verdana" w:hAnsi="Verdana"/>
          <w:sz w:val="20"/>
          <w:szCs w:val="20"/>
        </w:rPr>
        <w:t>Galyas</w:t>
      </w:r>
      <w:proofErr w:type="spellEnd"/>
      <w:r w:rsidRPr="00471694">
        <w:rPr>
          <w:rFonts w:ascii="Verdana" w:hAnsi="Verdana"/>
          <w:sz w:val="20"/>
          <w:szCs w:val="20"/>
        </w:rPr>
        <w:t xml:space="preserve"> Miklós László, Lénárt Lilla, </w:t>
      </w:r>
      <w:proofErr w:type="spellStart"/>
      <w:r w:rsidRPr="00471694">
        <w:rPr>
          <w:rFonts w:ascii="Verdana" w:hAnsi="Verdana"/>
          <w:sz w:val="20"/>
          <w:szCs w:val="20"/>
        </w:rPr>
        <w:t>Mazin</w:t>
      </w:r>
      <w:proofErr w:type="spellEnd"/>
      <w:r w:rsidRPr="00471694">
        <w:rPr>
          <w:rFonts w:ascii="Verdana" w:hAnsi="Verdana"/>
          <w:sz w:val="20"/>
          <w:szCs w:val="20"/>
        </w:rPr>
        <w:t xml:space="preserve"> Miklós, </w:t>
      </w:r>
      <w:proofErr w:type="spellStart"/>
      <w:r w:rsidRPr="00471694">
        <w:rPr>
          <w:rFonts w:ascii="Verdana" w:hAnsi="Verdana"/>
          <w:sz w:val="20"/>
          <w:szCs w:val="20"/>
        </w:rPr>
        <w:t>Mazin</w:t>
      </w:r>
      <w:proofErr w:type="spellEnd"/>
      <w:r w:rsidRPr="00471694">
        <w:rPr>
          <w:rFonts w:ascii="Verdana" w:hAnsi="Verdana"/>
          <w:sz w:val="20"/>
          <w:szCs w:val="20"/>
        </w:rPr>
        <w:t xml:space="preserve"> Rebeka, Pongó Norbert, Rajna Szabina Dorina, </w:t>
      </w:r>
      <w:r w:rsidR="00961E0D" w:rsidRPr="00471694">
        <w:rPr>
          <w:rFonts w:ascii="Verdana" w:hAnsi="Verdana"/>
          <w:sz w:val="20"/>
          <w:szCs w:val="20"/>
        </w:rPr>
        <w:t>Tóth Levente, Tóth Tamás</w:t>
      </w:r>
    </w:p>
    <w:p w:rsidR="00961E0D" w:rsidRPr="00471694" w:rsidRDefault="00961E0D" w:rsidP="00471694">
      <w:pPr>
        <w:jc w:val="both"/>
        <w:rPr>
          <w:rFonts w:ascii="Verdana" w:hAnsi="Verdana"/>
          <w:sz w:val="20"/>
          <w:szCs w:val="20"/>
        </w:rPr>
      </w:pPr>
      <w:r w:rsidRPr="00471694">
        <w:rPr>
          <w:rFonts w:ascii="Verdana" w:hAnsi="Verdana"/>
          <w:sz w:val="20"/>
          <w:szCs w:val="20"/>
        </w:rPr>
        <w:t xml:space="preserve">A kör vezetője: Gyöngy Ilona </w:t>
      </w:r>
      <w:proofErr w:type="spellStart"/>
      <w:r w:rsidRPr="00471694">
        <w:rPr>
          <w:rFonts w:ascii="Verdana" w:hAnsi="Verdana"/>
          <w:sz w:val="20"/>
          <w:szCs w:val="20"/>
        </w:rPr>
        <w:t>néptáncpedagógus</w:t>
      </w:r>
      <w:proofErr w:type="spellEnd"/>
    </w:p>
    <w:sectPr w:rsidR="00961E0D" w:rsidRPr="0047169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812" w:rsidRDefault="00FF5812" w:rsidP="002F7904">
      <w:pPr>
        <w:spacing w:after="0" w:line="240" w:lineRule="auto"/>
      </w:pPr>
      <w:r>
        <w:separator/>
      </w:r>
    </w:p>
  </w:endnote>
  <w:endnote w:type="continuationSeparator" w:id="0">
    <w:p w:rsidR="00FF5812" w:rsidRDefault="00FF5812" w:rsidP="002F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904" w:rsidRPr="00D700FC" w:rsidRDefault="002F7904" w:rsidP="002F7904">
    <w:pPr>
      <w:pStyle w:val="llb"/>
      <w:jc w:val="center"/>
    </w:pPr>
    <w:r w:rsidRPr="002004EC">
      <w:rPr>
        <w:rFonts w:ascii="ArialMT" w:hAnsi="ArialMT" w:cs="ArialMT"/>
        <w:noProof/>
        <w:sz w:val="16"/>
        <w:szCs w:val="16"/>
        <w:lang w:eastAsia="hu-HU"/>
      </w:rPr>
      <w:drawing>
        <wp:inline distT="0" distB="0" distL="0" distR="0">
          <wp:extent cx="1314450" cy="895350"/>
          <wp:effectExtent l="0" t="0" r="0" b="0"/>
          <wp:docPr id="3" name="Kép 3" descr="emmi_color_cmyk__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i_color_cmyk__6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a:ln>
                    <a:noFill/>
                  </a:ln>
                </pic:spPr>
              </pic:pic>
            </a:graphicData>
          </a:graphic>
        </wp:inline>
      </w:drawing>
    </w:r>
    <w:r>
      <w:rPr>
        <w:rFonts w:ascii="ArialMT" w:hAnsi="ArialMT" w:cs="ArialMT"/>
        <w:noProof/>
        <w:sz w:val="16"/>
        <w:szCs w:val="16"/>
        <w:lang w:eastAsia="hu-HU"/>
      </w:rPr>
      <w:drawing>
        <wp:inline distT="0" distB="0" distL="0" distR="0">
          <wp:extent cx="2581275" cy="838200"/>
          <wp:effectExtent l="0" t="0" r="9525" b="0"/>
          <wp:docPr id="2" name="Kép 2" descr="emet_logo_szines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et_logo_szines_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1275" cy="838200"/>
                  </a:xfrm>
                  <a:prstGeom prst="rect">
                    <a:avLst/>
                  </a:prstGeom>
                  <a:noFill/>
                  <a:ln>
                    <a:noFill/>
                  </a:ln>
                </pic:spPr>
              </pic:pic>
            </a:graphicData>
          </a:graphic>
        </wp:inline>
      </w:drawing>
    </w:r>
  </w:p>
  <w:p w:rsidR="002F7904" w:rsidRDefault="002F790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812" w:rsidRDefault="00FF5812" w:rsidP="002F7904">
      <w:pPr>
        <w:spacing w:after="0" w:line="240" w:lineRule="auto"/>
      </w:pPr>
      <w:r>
        <w:separator/>
      </w:r>
    </w:p>
  </w:footnote>
  <w:footnote w:type="continuationSeparator" w:id="0">
    <w:p w:rsidR="00FF5812" w:rsidRDefault="00FF5812" w:rsidP="002F79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904" w:rsidRPr="002004EC" w:rsidRDefault="002F7904" w:rsidP="002F7904">
    <w:pPr>
      <w:tabs>
        <w:tab w:val="left" w:pos="7946"/>
      </w:tabs>
      <w:spacing w:line="360" w:lineRule="auto"/>
      <w:ind w:left="-426"/>
      <w:rPr>
        <w:rFonts w:ascii="Verdana" w:hAnsi="Verdana" w:cs="Calibri"/>
        <w:b/>
        <w:sz w:val="20"/>
      </w:rPr>
    </w:pPr>
    <w:r>
      <w:rPr>
        <w:noProof/>
        <w:lang w:eastAsia="hu-HU"/>
      </w:rPr>
      <w:drawing>
        <wp:anchor distT="0" distB="0" distL="114300" distR="114300" simplePos="0" relativeHeight="251659264" behindDoc="0" locked="0" layoutInCell="1" allowOverlap="1">
          <wp:simplePos x="0" y="0"/>
          <wp:positionH relativeFrom="column">
            <wp:posOffset>3742055</wp:posOffset>
          </wp:positionH>
          <wp:positionV relativeFrom="paragraph">
            <wp:posOffset>83185</wp:posOffset>
          </wp:positionV>
          <wp:extent cx="2477135" cy="621030"/>
          <wp:effectExtent l="0" t="0" r="0" b="7620"/>
          <wp:wrapSquare wrapText="bothSides"/>
          <wp:docPr id="1" name="Kép 1" descr="ntp_72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p_72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7135"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04EC">
      <w:rPr>
        <w:rFonts w:ascii="Verdana" w:hAnsi="Verdana" w:cs="Calibri"/>
        <w:b/>
        <w:sz w:val="20"/>
      </w:rPr>
      <w:t>"</w:t>
    </w:r>
    <w:proofErr w:type="spellStart"/>
    <w:r w:rsidRPr="002004EC">
      <w:rPr>
        <w:rFonts w:ascii="Verdana" w:hAnsi="Verdana" w:cs="Calibri"/>
        <w:b/>
        <w:sz w:val="20"/>
      </w:rPr>
      <w:t>Pimpóka</w:t>
    </w:r>
    <w:proofErr w:type="spellEnd"/>
    <w:r w:rsidRPr="002004EC">
      <w:rPr>
        <w:rFonts w:ascii="Verdana" w:hAnsi="Verdana" w:cs="Calibri"/>
        <w:b/>
        <w:sz w:val="20"/>
      </w:rPr>
      <w:t xml:space="preserve"> tehetséggondozó kör"</w:t>
    </w:r>
  </w:p>
  <w:p w:rsidR="002F7904" w:rsidRPr="002004EC" w:rsidRDefault="002F7904" w:rsidP="002F7904">
    <w:pPr>
      <w:pStyle w:val="lfej"/>
      <w:spacing w:line="360" w:lineRule="auto"/>
      <w:ind w:left="-426"/>
      <w:jc w:val="both"/>
      <w:rPr>
        <w:rFonts w:ascii="Verdana" w:hAnsi="Verdana" w:cs="ArialMT"/>
        <w:b/>
        <w:sz w:val="20"/>
      </w:rPr>
    </w:pPr>
    <w:r w:rsidRPr="002004EC">
      <w:rPr>
        <w:rFonts w:ascii="Verdana" w:hAnsi="Verdana" w:cs="ArialMT"/>
        <w:b/>
        <w:sz w:val="20"/>
      </w:rPr>
      <w:t>NTP-MŰV-17-0098</w:t>
    </w:r>
  </w:p>
  <w:p w:rsidR="002F7904" w:rsidRPr="002004EC" w:rsidRDefault="002F7904" w:rsidP="002F7904">
    <w:pPr>
      <w:pStyle w:val="lfej"/>
      <w:spacing w:line="360" w:lineRule="auto"/>
      <w:ind w:left="-426"/>
      <w:jc w:val="both"/>
      <w:rPr>
        <w:rFonts w:ascii="Verdana" w:hAnsi="Verdana" w:cs="ArialMT"/>
        <w:b/>
        <w:sz w:val="20"/>
      </w:rPr>
    </w:pPr>
    <w:r w:rsidRPr="002004EC">
      <w:rPr>
        <w:rFonts w:ascii="Verdana" w:hAnsi="Verdana" w:cs="ArialMT"/>
        <w:b/>
        <w:sz w:val="20"/>
      </w:rPr>
      <w:t>Karcsai Általános Iskola és Alapfokú Művészeti Iskola</w:t>
    </w:r>
  </w:p>
  <w:p w:rsidR="002F7904" w:rsidRPr="002004EC" w:rsidRDefault="002F7904" w:rsidP="002F7904">
    <w:pPr>
      <w:pStyle w:val="lfej"/>
      <w:spacing w:line="360" w:lineRule="auto"/>
      <w:ind w:left="-426"/>
      <w:rPr>
        <w:rFonts w:ascii="Verdana" w:hAnsi="Verdana" w:cs="ArialMT"/>
        <w:b/>
        <w:sz w:val="20"/>
      </w:rPr>
    </w:pPr>
    <w:r w:rsidRPr="002004EC">
      <w:rPr>
        <w:rFonts w:ascii="Verdana" w:hAnsi="Verdana" w:cs="ArialMT"/>
        <w:b/>
        <w:sz w:val="20"/>
      </w:rPr>
      <w:t>Sárospataki Tankerületi Központ</w:t>
    </w:r>
  </w:p>
  <w:p w:rsidR="002F7904" w:rsidRPr="002004EC" w:rsidRDefault="002F7904" w:rsidP="002F7904">
    <w:pPr>
      <w:pStyle w:val="lfej"/>
      <w:spacing w:line="360" w:lineRule="auto"/>
      <w:ind w:left="-426"/>
      <w:rPr>
        <w:rFonts w:ascii="Verdana" w:hAnsi="Verdana"/>
        <w:b/>
        <w:sz w:val="20"/>
      </w:rPr>
    </w:pPr>
    <w:r w:rsidRPr="002004EC">
      <w:rPr>
        <w:rFonts w:ascii="Verdana" w:hAnsi="Verdana" w:cs="ArialMT"/>
        <w:b/>
        <w:sz w:val="20"/>
      </w:rPr>
      <w:t>Sárospatak, Kossuth u. 44.</w:t>
    </w:r>
  </w:p>
  <w:p w:rsidR="002F7904" w:rsidRDefault="002F7904">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72F"/>
    <w:rsid w:val="002F7904"/>
    <w:rsid w:val="003D572F"/>
    <w:rsid w:val="00471694"/>
    <w:rsid w:val="0050108C"/>
    <w:rsid w:val="0069473E"/>
    <w:rsid w:val="00961E0D"/>
    <w:rsid w:val="00E16835"/>
    <w:rsid w:val="00E63E63"/>
    <w:rsid w:val="00FF58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B726D6-084D-464D-BDD2-EB7DBD67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63E63"/>
    <w:pPr>
      <w:spacing w:after="200" w:line="276" w:lineRule="auto"/>
    </w:pPr>
    <w:rPr>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F7904"/>
    <w:pPr>
      <w:tabs>
        <w:tab w:val="center" w:pos="4536"/>
        <w:tab w:val="right" w:pos="9072"/>
      </w:tabs>
      <w:spacing w:after="0" w:line="240" w:lineRule="auto"/>
    </w:pPr>
  </w:style>
  <w:style w:type="character" w:customStyle="1" w:styleId="lfejChar">
    <w:name w:val="Élőfej Char"/>
    <w:basedOn w:val="Bekezdsalapbettpusa"/>
    <w:link w:val="lfej"/>
    <w:uiPriority w:val="99"/>
    <w:rsid w:val="002F7904"/>
    <w:rPr>
      <w:sz w:val="22"/>
      <w:szCs w:val="22"/>
    </w:rPr>
  </w:style>
  <w:style w:type="paragraph" w:styleId="llb">
    <w:name w:val="footer"/>
    <w:basedOn w:val="Norml"/>
    <w:link w:val="llbChar"/>
    <w:unhideWhenUsed/>
    <w:rsid w:val="002F7904"/>
    <w:pPr>
      <w:tabs>
        <w:tab w:val="center" w:pos="4536"/>
        <w:tab w:val="right" w:pos="9072"/>
      </w:tabs>
      <w:spacing w:after="0" w:line="240" w:lineRule="auto"/>
    </w:pPr>
  </w:style>
  <w:style w:type="character" w:customStyle="1" w:styleId="llbChar">
    <w:name w:val="Élőláb Char"/>
    <w:basedOn w:val="Bekezdsalapbettpusa"/>
    <w:link w:val="llb"/>
    <w:uiPriority w:val="99"/>
    <w:rsid w:val="002F790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534</Words>
  <Characters>3692</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2018-01-30T12:59:00Z</dcterms:created>
  <dcterms:modified xsi:type="dcterms:W3CDTF">2018-02-01T11:09:00Z</dcterms:modified>
</cp:coreProperties>
</file>